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B11" w:rsidRDefault="002C2B11"/>
    <w:p w:rsidR="000A3965" w:rsidRDefault="000A3965">
      <w:r>
        <w:t>Hazine Müsteşarlığından:                                                                                                            21.01.2013</w:t>
      </w:r>
    </w:p>
    <w:p w:rsidR="000A3965" w:rsidRDefault="000A3965"/>
    <w:p w:rsidR="000A3965" w:rsidRDefault="000A3965" w:rsidP="000A3965">
      <w:pPr>
        <w:jc w:val="center"/>
      </w:pPr>
      <w:r>
        <w:t>Kara Araçları Kasko Sigortası Poliçe Şablonuna</w:t>
      </w:r>
    </w:p>
    <w:p w:rsidR="000A3965" w:rsidRDefault="000A3965" w:rsidP="000A3965">
      <w:pPr>
        <w:jc w:val="center"/>
      </w:pPr>
      <w:r>
        <w:t>İlişkin Sektör Duyurusu</w:t>
      </w:r>
    </w:p>
    <w:p w:rsidR="000A3965" w:rsidRDefault="000A3965" w:rsidP="000A3965">
      <w:pPr>
        <w:jc w:val="center"/>
      </w:pPr>
      <w:r>
        <w:t>(2013/4)</w:t>
      </w:r>
    </w:p>
    <w:p w:rsidR="000A3965" w:rsidRDefault="000A3965" w:rsidP="000A3965">
      <w:pPr>
        <w:jc w:val="center"/>
      </w:pPr>
    </w:p>
    <w:p w:rsidR="000A3965" w:rsidRDefault="000A3965" w:rsidP="000A3965">
      <w:pPr>
        <w:jc w:val="both"/>
      </w:pPr>
      <w:r>
        <w:t>Bilindiği üzere Kara Araçları Kasko Sigortası Genel Şartları 04.04.2013 tarihi itibariyle yürürlüğe girecektir.</w:t>
      </w:r>
    </w:p>
    <w:p w:rsidR="000A3965" w:rsidRDefault="000A3965" w:rsidP="000A3965">
      <w:pPr>
        <w:jc w:val="both"/>
      </w:pPr>
      <w:r>
        <w:t xml:space="preserve">Bu itibarla Kara Araçları Kasko Sigortası Poliçelerinin anılan tarihten itibaren ekli şablona göre tanzim edilmesi zorunlu olup ilgili </w:t>
      </w:r>
      <w:proofErr w:type="gramStart"/>
      <w:r>
        <w:t>branşta</w:t>
      </w:r>
      <w:proofErr w:type="gramEnd"/>
      <w:r>
        <w:t xml:space="preserve"> ruhsat sahibi sigorta şirketlerinin bu amaçla tedbir alması gerekli görülmektedir.</w:t>
      </w:r>
    </w:p>
    <w:p w:rsidR="000A3965" w:rsidRDefault="000A3965" w:rsidP="000A3965">
      <w:pPr>
        <w:jc w:val="both"/>
      </w:pPr>
      <w:r>
        <w:t>Bu çerçevede:</w:t>
      </w:r>
    </w:p>
    <w:p w:rsidR="000A3965" w:rsidRDefault="000A3965" w:rsidP="000A3965">
      <w:pPr>
        <w:jc w:val="both"/>
      </w:pPr>
      <w:r>
        <w:t>1-) 01.04.2013 tarihinden itibaren tüm Kara Kasko Sigortası poliçeleri, yayınlanan Kara Araçları Kasko Sigortası Genel Şartlarına göre düzenlenmektedir.</w:t>
      </w:r>
    </w:p>
    <w:p w:rsidR="000A3965" w:rsidRDefault="000A3965" w:rsidP="000A3965">
      <w:pPr>
        <w:jc w:val="both"/>
      </w:pPr>
      <w:r>
        <w:t>2-) 01.04.2012 tarihinden itibaren, tüm Kara Araçları Kasko Sigortası poliçelerinde yer alan bilgiler ekteki standart şablonda yer alan sıra ile düzenlenecektir. Bir sayfanın yetmediği durumlarda, sıralama bozulmadan ikinci ve üçüncü sayfalara geçilebilecektir.</w:t>
      </w:r>
    </w:p>
    <w:p w:rsidR="000A3965" w:rsidRDefault="000A3965" w:rsidP="000A3965">
      <w:pPr>
        <w:jc w:val="both"/>
      </w:pPr>
      <w:r>
        <w:t>3-) Ekli şablonda yer almayan, ancak Ticaret Kanunu ve ilgili mevzuat ile Kara Araçları Kasko Sigortası Genel Şartlarında belirtilen diğer hususlara da poliçece yer verilecektir.</w:t>
      </w:r>
    </w:p>
    <w:p w:rsidR="000A3965" w:rsidRDefault="000A3965" w:rsidP="000A3965">
      <w:pPr>
        <w:jc w:val="both"/>
      </w:pPr>
    </w:p>
    <w:p w:rsidR="000A3965" w:rsidRDefault="000A3965" w:rsidP="000A3965">
      <w:pPr>
        <w:jc w:val="both"/>
      </w:pPr>
    </w:p>
    <w:p w:rsidR="000A3965" w:rsidRDefault="000A3965" w:rsidP="000A3965">
      <w:pPr>
        <w:jc w:val="both"/>
      </w:pPr>
      <w:r>
        <w:t>EKLER:</w:t>
      </w:r>
    </w:p>
    <w:p w:rsidR="000A3965" w:rsidRDefault="000A3965" w:rsidP="000A3965">
      <w:pPr>
        <w:jc w:val="both"/>
      </w:pPr>
      <w:r>
        <w:t>1-) Poliçe Şablonu</w:t>
      </w:r>
    </w:p>
    <w:sectPr w:rsidR="000A3965" w:rsidSect="002C2B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3965"/>
    <w:rsid w:val="000A3965"/>
    <w:rsid w:val="002C2B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B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dc:creator>
  <cp:lastModifiedBy>Hilal</cp:lastModifiedBy>
  <cp:revision>1</cp:revision>
  <dcterms:created xsi:type="dcterms:W3CDTF">2013-02-04T08:02:00Z</dcterms:created>
  <dcterms:modified xsi:type="dcterms:W3CDTF">2013-02-04T08:09:00Z</dcterms:modified>
</cp:coreProperties>
</file>